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85A89" w14:textId="77777777" w:rsidR="004B53BF" w:rsidRPr="004B53BF" w:rsidRDefault="004B53BF" w:rsidP="004B53BF">
      <w:pPr>
        <w:spacing w:before="120" w:after="120" w:line="240" w:lineRule="auto"/>
        <w:rPr>
          <w:rFonts w:eastAsia="Calibri" w:cstheme="minorHAnsi"/>
          <w:b/>
          <w:lang w:val="ro-RO"/>
        </w:rPr>
      </w:pPr>
      <w:r w:rsidRPr="004B53BF">
        <w:rPr>
          <w:rFonts w:eastAsia="Calibri" w:cstheme="minorHAnsi"/>
          <w:b/>
          <w:lang w:val="ro-RO"/>
        </w:rPr>
        <w:t>APEL PR/NE/2024/P1/RSO1.1.2/1/Infrastructuri CDI</w:t>
      </w:r>
    </w:p>
    <w:p w14:paraId="6CA5F4D0" w14:textId="77777777" w:rsidR="004B53BF" w:rsidRPr="004B53BF" w:rsidRDefault="004B53BF" w:rsidP="004B53BF">
      <w:pPr>
        <w:spacing w:before="120" w:after="120" w:line="240" w:lineRule="auto"/>
        <w:jc w:val="right"/>
        <w:rPr>
          <w:rFonts w:eastAsia="Calibri" w:cstheme="minorHAnsi"/>
          <w:b/>
          <w:lang w:val="ro-RO"/>
        </w:rPr>
      </w:pPr>
    </w:p>
    <w:p w14:paraId="35ADAE7F" w14:textId="77777777" w:rsidR="004B53BF" w:rsidRPr="004B53BF" w:rsidRDefault="004B53BF" w:rsidP="004B53BF">
      <w:pPr>
        <w:spacing w:before="120" w:after="120" w:line="240" w:lineRule="auto"/>
        <w:jc w:val="right"/>
        <w:rPr>
          <w:rFonts w:eastAsia="Calibri" w:cstheme="minorHAnsi"/>
          <w:b/>
          <w:lang w:val="ro-RO"/>
        </w:rPr>
      </w:pPr>
      <w:r w:rsidRPr="004B53BF">
        <w:rPr>
          <w:rFonts w:eastAsia="Calibri" w:cstheme="minorHAnsi"/>
          <w:b/>
          <w:lang w:val="ro-RO"/>
        </w:rPr>
        <w:t>Anexa 5</w:t>
      </w:r>
    </w:p>
    <w:p w14:paraId="630C1D5E" w14:textId="77777777" w:rsidR="004B53BF" w:rsidRPr="004B53BF" w:rsidRDefault="004B53BF" w:rsidP="004B53BF">
      <w:pPr>
        <w:spacing w:before="120" w:after="120" w:line="240" w:lineRule="auto"/>
        <w:jc w:val="center"/>
        <w:rPr>
          <w:rFonts w:eastAsia="Calibri" w:cstheme="minorHAnsi"/>
          <w:b/>
          <w:color w:val="4472C4"/>
          <w:lang w:val="ro-RO"/>
        </w:rPr>
      </w:pPr>
    </w:p>
    <w:p w14:paraId="62CF9A2E" w14:textId="77777777" w:rsidR="004B53BF" w:rsidRPr="004B53BF" w:rsidRDefault="004B53BF" w:rsidP="004B53BF">
      <w:pPr>
        <w:spacing w:before="120" w:after="120" w:line="240" w:lineRule="auto"/>
        <w:jc w:val="center"/>
        <w:rPr>
          <w:rFonts w:eastAsia="Calibri" w:cstheme="minorHAnsi"/>
          <w:b/>
          <w:color w:val="4472C4"/>
          <w:lang w:val="ro-RO"/>
        </w:rPr>
      </w:pPr>
      <w:r w:rsidRPr="004B53BF">
        <w:rPr>
          <w:rFonts w:eastAsia="Calibri" w:cstheme="minorHAnsi"/>
          <w:b/>
          <w:color w:val="4472C4"/>
          <w:lang w:val="ro-RO"/>
        </w:rPr>
        <w:t>REGULI PRIVIND AJUTORUL DE STAT</w:t>
      </w:r>
    </w:p>
    <w:p w14:paraId="515ABA4A" w14:textId="77777777" w:rsidR="004B53BF" w:rsidRPr="004B53BF" w:rsidRDefault="004B53BF" w:rsidP="004B53BF">
      <w:pPr>
        <w:spacing w:before="120" w:after="120" w:line="240" w:lineRule="auto"/>
        <w:jc w:val="both"/>
        <w:rPr>
          <w:rFonts w:eastAsia="Calibri" w:cstheme="minorHAnsi"/>
          <w:lang w:val="ro-RO"/>
        </w:rPr>
      </w:pPr>
      <w:r w:rsidRPr="004B53BF">
        <w:rPr>
          <w:rFonts w:eastAsia="Calibri" w:cstheme="minorHAnsi"/>
          <w:lang w:val="ro-RO"/>
        </w:rPr>
        <w:t xml:space="preserve">Pentru verificarea încadrării sub incidența ajutorului de stat sunt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Este considerat ajutor de stat incompatibil cu Piața internă a Uniunii Europene, orice măsură de sprijin a unui Stat Membru care îndeplinește cumulativ următoarele patru condiții: </w:t>
      </w:r>
    </w:p>
    <w:p w14:paraId="20A99216" w14:textId="77777777" w:rsidR="004B53BF" w:rsidRPr="004B53BF" w:rsidRDefault="004B53BF" w:rsidP="004B53BF">
      <w:pPr>
        <w:numPr>
          <w:ilvl w:val="0"/>
          <w:numId w:val="2"/>
        </w:numPr>
        <w:pBdr>
          <w:top w:val="nil"/>
          <w:left w:val="nil"/>
          <w:bottom w:val="nil"/>
          <w:right w:val="nil"/>
          <w:between w:val="nil"/>
        </w:pBdr>
        <w:spacing w:before="120" w:after="0" w:line="240" w:lineRule="auto"/>
        <w:jc w:val="both"/>
        <w:rPr>
          <w:rFonts w:eastAsia="Calibri" w:cstheme="minorHAnsi"/>
          <w:color w:val="000000"/>
          <w:lang w:val="ro-RO"/>
        </w:rPr>
      </w:pPr>
      <w:r w:rsidRPr="004B53BF">
        <w:rPr>
          <w:rFonts w:eastAsia="Calibri" w:cstheme="minorHAnsi"/>
          <w:color w:val="000000"/>
          <w:lang w:val="ro-RO"/>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24560A5E" w14:textId="77777777" w:rsidR="004B53BF" w:rsidRPr="004B53BF" w:rsidRDefault="004B53BF" w:rsidP="004B53BF">
      <w:pPr>
        <w:numPr>
          <w:ilvl w:val="0"/>
          <w:numId w:val="2"/>
        </w:numPr>
        <w:pBdr>
          <w:top w:val="nil"/>
          <w:left w:val="nil"/>
          <w:bottom w:val="nil"/>
          <w:right w:val="nil"/>
          <w:between w:val="nil"/>
        </w:pBdr>
        <w:spacing w:after="0" w:line="240" w:lineRule="auto"/>
        <w:jc w:val="both"/>
        <w:rPr>
          <w:rFonts w:eastAsia="Calibri" w:cstheme="minorHAnsi"/>
          <w:color w:val="000000"/>
          <w:lang w:val="ro-RO"/>
        </w:rPr>
      </w:pPr>
      <w:r w:rsidRPr="004B53BF">
        <w:rPr>
          <w:rFonts w:eastAsia="Calibri" w:cstheme="minorHAnsi"/>
          <w:color w:val="000000"/>
          <w:lang w:val="ro-RO"/>
        </w:rPr>
        <w:t xml:space="preserve">să fie selectivă; </w:t>
      </w:r>
    </w:p>
    <w:p w14:paraId="13D890B7" w14:textId="77777777" w:rsidR="004B53BF" w:rsidRPr="004B53BF" w:rsidRDefault="004B53BF" w:rsidP="004B53BF">
      <w:pPr>
        <w:numPr>
          <w:ilvl w:val="0"/>
          <w:numId w:val="2"/>
        </w:numPr>
        <w:pBdr>
          <w:top w:val="nil"/>
          <w:left w:val="nil"/>
          <w:bottom w:val="nil"/>
          <w:right w:val="nil"/>
          <w:between w:val="nil"/>
        </w:pBdr>
        <w:spacing w:after="0" w:line="240" w:lineRule="auto"/>
        <w:jc w:val="both"/>
        <w:rPr>
          <w:rFonts w:eastAsia="Calibri" w:cstheme="minorHAnsi"/>
          <w:color w:val="000000"/>
          <w:lang w:val="ro-RO"/>
        </w:rPr>
      </w:pPr>
      <w:r w:rsidRPr="004B53BF">
        <w:rPr>
          <w:rFonts w:eastAsia="Calibri" w:cstheme="minorHAnsi"/>
          <w:color w:val="000000"/>
          <w:lang w:val="ro-RO"/>
        </w:rPr>
        <w:t xml:space="preserve">să asigure un avantaj agentului economic; </w:t>
      </w:r>
    </w:p>
    <w:p w14:paraId="76348AC7" w14:textId="77777777" w:rsidR="004B53BF" w:rsidRPr="004B53BF" w:rsidRDefault="004B53BF" w:rsidP="004B53BF">
      <w:pPr>
        <w:numPr>
          <w:ilvl w:val="0"/>
          <w:numId w:val="2"/>
        </w:numPr>
        <w:pBdr>
          <w:top w:val="nil"/>
          <w:left w:val="nil"/>
          <w:bottom w:val="nil"/>
          <w:right w:val="nil"/>
          <w:between w:val="nil"/>
        </w:pBdr>
        <w:spacing w:after="0" w:line="240" w:lineRule="auto"/>
        <w:jc w:val="both"/>
        <w:rPr>
          <w:rFonts w:eastAsia="Calibri" w:cstheme="minorHAnsi"/>
          <w:color w:val="000000"/>
          <w:lang w:val="ro-RO"/>
        </w:rPr>
      </w:pPr>
      <w:r w:rsidRPr="004B53BF">
        <w:rPr>
          <w:rFonts w:eastAsia="Calibri" w:cstheme="minorHAnsi"/>
          <w:color w:val="000000"/>
          <w:lang w:val="ro-RO"/>
        </w:rPr>
        <w:t>să distorsioneze ori să amenințe să distorsioneze concurența sau să afecteze comerțul dintre statele membre ale Uniunii Europene.</w:t>
      </w:r>
    </w:p>
    <w:p w14:paraId="58BCED60" w14:textId="77777777" w:rsidR="004B53BF" w:rsidRPr="004B53BF" w:rsidRDefault="004B53BF" w:rsidP="004B53BF">
      <w:pPr>
        <w:pBdr>
          <w:top w:val="nil"/>
          <w:left w:val="nil"/>
          <w:bottom w:val="nil"/>
          <w:right w:val="nil"/>
          <w:between w:val="nil"/>
        </w:pBdr>
        <w:spacing w:after="120" w:line="240" w:lineRule="auto"/>
        <w:ind w:left="720"/>
        <w:rPr>
          <w:rFonts w:eastAsia="Calibri" w:cstheme="minorHAnsi"/>
          <w:color w:val="000000"/>
          <w:lang w:val="ro-RO"/>
        </w:rPr>
      </w:pPr>
    </w:p>
    <w:p w14:paraId="62EB6A18" w14:textId="77777777" w:rsidR="004B53BF" w:rsidRPr="004B53BF" w:rsidRDefault="004B53BF" w:rsidP="004B53BF">
      <w:pPr>
        <w:spacing w:before="120" w:after="120" w:line="240" w:lineRule="auto"/>
        <w:rPr>
          <w:rFonts w:eastAsia="Calibri" w:cstheme="minorHAnsi"/>
          <w:b/>
          <w:lang w:val="ro-RO"/>
        </w:rPr>
      </w:pPr>
      <w:r w:rsidRPr="004B53BF">
        <w:rPr>
          <w:rFonts w:eastAsia="Calibri" w:cstheme="minorHAnsi"/>
          <w:b/>
          <w:lang w:val="ro-RO"/>
        </w:rPr>
        <w:t xml:space="preserve">I. Finanțarea publică a activităților de cercetare dezvoltare </w:t>
      </w:r>
    </w:p>
    <w:p w14:paraId="7C51FBF9" w14:textId="77777777" w:rsidR="004B53BF" w:rsidRPr="004B53BF" w:rsidRDefault="004B53BF" w:rsidP="004B53BF">
      <w:pPr>
        <w:spacing w:before="120" w:after="120" w:line="240" w:lineRule="auto"/>
        <w:jc w:val="both"/>
        <w:rPr>
          <w:rFonts w:eastAsia="Calibri" w:cstheme="minorHAnsi"/>
          <w:lang w:val="ro-RO"/>
        </w:rPr>
      </w:pPr>
      <w:r w:rsidRPr="004B53BF">
        <w:rPr>
          <w:rFonts w:eastAsia="Calibri" w:cstheme="minorHAnsi"/>
          <w:lang w:val="ro-RO"/>
        </w:rPr>
        <w:t xml:space="preserve">Activitățile eligibile ale proiectului ce vizează activitatea de cercetare, dezvoltare, inovare vizează următoarele activități prevăzute în ghidul solicitantului, respectiv: </w:t>
      </w:r>
    </w:p>
    <w:p w14:paraId="703C76D1" w14:textId="77777777" w:rsidR="004B53BF" w:rsidRPr="004B53BF" w:rsidRDefault="004B53BF" w:rsidP="004B53BF">
      <w:pPr>
        <w:pBdr>
          <w:top w:val="nil"/>
          <w:left w:val="nil"/>
          <w:bottom w:val="nil"/>
          <w:right w:val="nil"/>
          <w:between w:val="nil"/>
        </w:pBdr>
        <w:spacing w:before="120" w:after="120" w:line="240" w:lineRule="auto"/>
        <w:jc w:val="both"/>
        <w:rPr>
          <w:rFonts w:eastAsia="Calibri" w:cstheme="minorHAnsi"/>
          <w:b/>
          <w:color w:val="000000"/>
          <w:lang w:val="ro-RO"/>
        </w:rPr>
      </w:pPr>
      <w:r w:rsidRPr="004B53BF">
        <w:rPr>
          <w:rFonts w:eastAsia="Calibri" w:cstheme="minorHAnsi"/>
          <w:b/>
          <w:color w:val="000000"/>
          <w:lang w:val="ro-RO"/>
        </w:rPr>
        <w:t>1. Activități de CDI independentă, cu caracter non-economic:</w:t>
      </w:r>
    </w:p>
    <w:p w14:paraId="5AA71767" w14:textId="77777777" w:rsidR="004B53BF" w:rsidRPr="004B53BF" w:rsidRDefault="004B53BF" w:rsidP="004B53BF">
      <w:pPr>
        <w:pBdr>
          <w:top w:val="nil"/>
          <w:left w:val="nil"/>
          <w:bottom w:val="nil"/>
          <w:right w:val="nil"/>
          <w:between w:val="nil"/>
        </w:pBdr>
        <w:spacing w:before="120" w:after="120" w:line="240" w:lineRule="auto"/>
        <w:ind w:left="720"/>
        <w:jc w:val="both"/>
        <w:rPr>
          <w:rFonts w:eastAsia="Calibri" w:cstheme="minorHAnsi"/>
          <w:color w:val="000000"/>
          <w:lang w:val="ro-RO"/>
        </w:rPr>
      </w:pPr>
      <w:r w:rsidRPr="004B53BF">
        <w:rPr>
          <w:rFonts w:eastAsia="Calibri" w:cstheme="minorHAnsi"/>
          <w:b/>
          <w:color w:val="000000"/>
          <w:lang w:val="ro-RO"/>
        </w:rPr>
        <w:t xml:space="preserve">a. </w:t>
      </w:r>
      <w:r w:rsidRPr="004B53BF">
        <w:rPr>
          <w:rFonts w:eastAsia="Calibri" w:cstheme="minorHAnsi"/>
          <w:color w:val="000000"/>
          <w:lang w:val="ro-RO"/>
        </w:rPr>
        <w:t>activități de cercetare aplicată, dezvoltare tehnologică și dezvoltare experimentală (de ex. construire şi testare prototipuri, serie 0, realizare şi operare planuri pilot, activități necesare producției experimentale şi testării etc.);</w:t>
      </w:r>
    </w:p>
    <w:p w14:paraId="57399E69" w14:textId="77777777" w:rsidR="004B53BF" w:rsidRPr="004B53BF" w:rsidRDefault="004B53BF" w:rsidP="004B53BF">
      <w:pPr>
        <w:pBdr>
          <w:top w:val="nil"/>
          <w:left w:val="nil"/>
          <w:bottom w:val="nil"/>
          <w:right w:val="nil"/>
          <w:between w:val="nil"/>
        </w:pBdr>
        <w:spacing w:before="120" w:after="120" w:line="240" w:lineRule="auto"/>
        <w:ind w:firstLine="720"/>
        <w:jc w:val="both"/>
        <w:rPr>
          <w:rFonts w:eastAsia="Calibri" w:cstheme="minorHAnsi"/>
          <w:color w:val="000000"/>
          <w:lang w:val="ro-RO"/>
        </w:rPr>
      </w:pPr>
      <w:r w:rsidRPr="004B53BF">
        <w:rPr>
          <w:rFonts w:eastAsia="Calibri" w:cstheme="minorHAnsi"/>
          <w:b/>
          <w:color w:val="000000"/>
          <w:lang w:val="ro-RO"/>
        </w:rPr>
        <w:t>b</w:t>
      </w:r>
      <w:r w:rsidRPr="004B53BF">
        <w:rPr>
          <w:rFonts w:eastAsia="Calibri" w:cstheme="minorHAnsi"/>
          <w:color w:val="000000"/>
          <w:lang w:val="ro-RO"/>
        </w:rPr>
        <w:t xml:space="preserve">. studii de fezabilitate pregătitoare pentru activitățile de cercetare; </w:t>
      </w:r>
    </w:p>
    <w:p w14:paraId="587F13BC" w14:textId="77777777" w:rsidR="004B53BF" w:rsidRPr="004B53BF" w:rsidRDefault="004B53BF" w:rsidP="004B53BF">
      <w:pPr>
        <w:pBdr>
          <w:top w:val="nil"/>
          <w:left w:val="nil"/>
          <w:bottom w:val="nil"/>
          <w:right w:val="nil"/>
          <w:between w:val="nil"/>
        </w:pBdr>
        <w:spacing w:before="120" w:after="120" w:line="240" w:lineRule="auto"/>
        <w:ind w:left="720"/>
        <w:jc w:val="both"/>
        <w:rPr>
          <w:rFonts w:eastAsia="Calibri" w:cstheme="minorHAnsi"/>
          <w:b/>
          <w:color w:val="000000"/>
          <w:lang w:val="ro-RO"/>
        </w:rPr>
      </w:pPr>
      <w:r w:rsidRPr="004B53BF">
        <w:rPr>
          <w:rFonts w:eastAsia="Calibri" w:cstheme="minorHAnsi"/>
          <w:b/>
          <w:color w:val="000000"/>
          <w:lang w:val="ro-RO"/>
        </w:rPr>
        <w:t>c</w:t>
      </w:r>
      <w:r w:rsidRPr="004B53BF">
        <w:rPr>
          <w:rFonts w:eastAsia="Calibri" w:cstheme="minorHAnsi"/>
          <w:color w:val="000000"/>
          <w:lang w:val="ro-RO"/>
        </w:rPr>
        <w:t>. activități pentru diseminarea la scară largă a rezultatelor cercetării, în mod neexclusiv și nediscriminatoriu, de exemplu prin activități de predare a acestora, prin baze de date cu acces liber, prin publicații deschise sau prin programe informatice gratuite.</w:t>
      </w:r>
    </w:p>
    <w:p w14:paraId="1E24FB3A" w14:textId="77777777" w:rsidR="004B53BF" w:rsidRPr="004B53BF" w:rsidRDefault="004B53BF" w:rsidP="004B53BF">
      <w:pPr>
        <w:pBdr>
          <w:top w:val="nil"/>
          <w:left w:val="nil"/>
          <w:bottom w:val="nil"/>
          <w:right w:val="nil"/>
          <w:between w:val="nil"/>
        </w:pBdr>
        <w:spacing w:before="120" w:after="120" w:line="240" w:lineRule="auto"/>
        <w:jc w:val="both"/>
        <w:rPr>
          <w:rFonts w:eastAsia="Calibri" w:cstheme="minorHAnsi"/>
          <w:color w:val="000000"/>
          <w:lang w:val="ro-RO"/>
        </w:rPr>
      </w:pPr>
      <w:r w:rsidRPr="004B53BF">
        <w:rPr>
          <w:rFonts w:eastAsia="Calibri" w:cstheme="minorHAnsi"/>
          <w:color w:val="000000"/>
          <w:lang w:val="ro-RO"/>
        </w:rPr>
        <w:t>Comisia consideră că următoarele activități au, în general, un caracter neeconomic:</w:t>
      </w:r>
    </w:p>
    <w:p w14:paraId="0BC69114" w14:textId="77777777" w:rsidR="004B53BF" w:rsidRPr="004B53BF" w:rsidRDefault="004B53BF" w:rsidP="004B53BF">
      <w:pPr>
        <w:pBdr>
          <w:top w:val="nil"/>
          <w:left w:val="nil"/>
          <w:bottom w:val="nil"/>
          <w:right w:val="nil"/>
          <w:between w:val="nil"/>
        </w:pBdr>
        <w:spacing w:before="120" w:after="120" w:line="240" w:lineRule="auto"/>
        <w:jc w:val="both"/>
        <w:rPr>
          <w:rFonts w:eastAsia="Calibri" w:cstheme="minorHAnsi"/>
          <w:color w:val="000000"/>
          <w:lang w:val="ro-RO"/>
        </w:rPr>
      </w:pPr>
      <w:r w:rsidRPr="004B53BF">
        <w:rPr>
          <w:rFonts w:eastAsia="Calibri" w:cstheme="minorHAnsi"/>
          <w:b/>
          <w:color w:val="000000"/>
          <w:lang w:val="ro-RO"/>
        </w:rPr>
        <w:t xml:space="preserve">(a) </w:t>
      </w:r>
      <w:r w:rsidRPr="004B53BF">
        <w:rPr>
          <w:rFonts w:eastAsia="Calibri" w:cstheme="minorHAnsi"/>
          <w:color w:val="000000"/>
          <w:lang w:val="ro-RO"/>
        </w:rPr>
        <w:t>activitățile de bază ale organizațiilor de cercetare și ale infrastructurilor de cercetare, în special:</w:t>
      </w:r>
    </w:p>
    <w:p w14:paraId="5BB857CC" w14:textId="77777777" w:rsidR="004B53BF" w:rsidRPr="004B53BF" w:rsidRDefault="004B53BF" w:rsidP="004B53BF">
      <w:pPr>
        <w:pBdr>
          <w:top w:val="nil"/>
          <w:left w:val="nil"/>
          <w:bottom w:val="nil"/>
          <w:right w:val="nil"/>
          <w:between w:val="nil"/>
        </w:pBdr>
        <w:spacing w:before="120" w:after="120" w:line="240" w:lineRule="auto"/>
        <w:ind w:left="720"/>
        <w:jc w:val="both"/>
        <w:rPr>
          <w:rFonts w:eastAsia="Calibri" w:cstheme="minorHAnsi"/>
          <w:color w:val="000000"/>
          <w:lang w:val="ro-RO"/>
        </w:rPr>
      </w:pPr>
      <w:r w:rsidRPr="004B53BF">
        <w:rPr>
          <w:rFonts w:eastAsia="Calibri" w:cstheme="minorHAnsi"/>
          <w:b/>
          <w:color w:val="000000"/>
          <w:lang w:val="ro-RO"/>
        </w:rPr>
        <w:t xml:space="preserve">(i) </w:t>
      </w:r>
      <w:r w:rsidRPr="004B53BF">
        <w:rPr>
          <w:rFonts w:eastAsia="Calibri" w:cstheme="minorHAnsi"/>
          <w:color w:val="000000"/>
          <w:lang w:val="ro-RO"/>
        </w:rPr>
        <w:t>activitățile de formare în vederea sporirii și îmbunătățirii calificării resurselor umane. În conformitate cu jurisprudența și practica decizională a Comisiei</w:t>
      </w:r>
      <w:r w:rsidRPr="004B53BF">
        <w:rPr>
          <w:rFonts w:eastAsia="Calibri" w:cstheme="minorHAnsi"/>
          <w:color w:val="000000"/>
          <w:vertAlign w:val="superscript"/>
          <w:lang w:val="ro-RO"/>
        </w:rPr>
        <w:t xml:space="preserve"> </w:t>
      </w:r>
      <w:r w:rsidRPr="004B53BF">
        <w:rPr>
          <w:rFonts w:eastAsia="Calibri" w:cstheme="minorHAnsi"/>
          <w:color w:val="000000"/>
          <w:lang w:val="ro-RO"/>
        </w:rPr>
        <w:t>și astfel cum s-a explicat în Comunicarea privind noțiunea de ajutor de stat și Comunicarea privind SIEG, învățământul public organizat din cadrul sistemului național de învățământ, cu finanțare predominant sau integral publică și controlat de către stat este considerat activitate neeconomică;</w:t>
      </w:r>
    </w:p>
    <w:p w14:paraId="4A0D1B67" w14:textId="77777777" w:rsidR="004B53BF" w:rsidRPr="004B53BF" w:rsidRDefault="004B53BF" w:rsidP="004B53BF">
      <w:pPr>
        <w:pBdr>
          <w:top w:val="nil"/>
          <w:left w:val="nil"/>
          <w:bottom w:val="nil"/>
          <w:right w:val="nil"/>
          <w:between w:val="nil"/>
        </w:pBdr>
        <w:spacing w:before="120" w:after="120" w:line="240" w:lineRule="auto"/>
        <w:ind w:left="720"/>
        <w:jc w:val="both"/>
        <w:rPr>
          <w:rFonts w:eastAsia="Calibri" w:cstheme="minorHAnsi"/>
          <w:color w:val="000000"/>
          <w:lang w:val="ro-RO"/>
        </w:rPr>
      </w:pPr>
      <w:r w:rsidRPr="004B53BF">
        <w:rPr>
          <w:rFonts w:eastAsia="Calibri" w:cstheme="minorHAnsi"/>
          <w:b/>
          <w:color w:val="000000"/>
          <w:lang w:val="ro-RO"/>
        </w:rPr>
        <w:t>(ii)</w:t>
      </w:r>
      <w:r w:rsidRPr="004B53BF">
        <w:rPr>
          <w:rFonts w:eastAsia="Calibri" w:cstheme="minorHAnsi"/>
          <w:color w:val="000000"/>
          <w:lang w:val="ro-RO"/>
        </w:rPr>
        <w:t xml:space="preserve"> C&amp;D independentă în vederea dobândirii unor cunoștințe mai vaste și a unei înțelegeri mai bune, inclusiv proiectele de colaborare în domeniul C&amp;D în cadrul cărora organizația de cercetare sau infrastructura de cercetare se angajează în colaborare efectivă;</w:t>
      </w:r>
    </w:p>
    <w:p w14:paraId="73E126A4" w14:textId="77777777" w:rsidR="004B53BF" w:rsidRPr="004B53BF" w:rsidRDefault="004B53BF" w:rsidP="004B53BF">
      <w:pPr>
        <w:pBdr>
          <w:top w:val="nil"/>
          <w:left w:val="nil"/>
          <w:bottom w:val="nil"/>
          <w:right w:val="nil"/>
          <w:between w:val="nil"/>
        </w:pBdr>
        <w:spacing w:before="120" w:after="120" w:line="240" w:lineRule="auto"/>
        <w:ind w:left="720"/>
        <w:jc w:val="both"/>
        <w:rPr>
          <w:rFonts w:eastAsia="Calibri" w:cstheme="minorHAnsi"/>
          <w:color w:val="000000"/>
          <w:lang w:val="ro-RO"/>
        </w:rPr>
      </w:pPr>
      <w:r w:rsidRPr="004B53BF">
        <w:rPr>
          <w:rFonts w:eastAsia="Calibri" w:cstheme="minorHAnsi"/>
          <w:b/>
          <w:color w:val="000000"/>
          <w:lang w:val="ro-RO"/>
        </w:rPr>
        <w:t xml:space="preserve">(iii) </w:t>
      </w:r>
      <w:r w:rsidRPr="004B53BF">
        <w:rPr>
          <w:rFonts w:eastAsia="Calibri" w:cstheme="minorHAnsi"/>
          <w:color w:val="000000"/>
          <w:lang w:val="ro-RO"/>
        </w:rPr>
        <w:t>diseminarea la scară largă a rezultatelor cercetării, în mod neexclusiv și nediscriminatoriu, de exemplu prin predarea acestora, prin baze de date cu acces liber, prin publicații deschise sau prin programe informatice gratuite;</w:t>
      </w:r>
    </w:p>
    <w:p w14:paraId="1F9454D2" w14:textId="77777777" w:rsidR="004B53BF" w:rsidRPr="004B53BF" w:rsidRDefault="004B53BF" w:rsidP="004B53BF">
      <w:pPr>
        <w:pBdr>
          <w:top w:val="nil"/>
          <w:left w:val="nil"/>
          <w:bottom w:val="nil"/>
          <w:right w:val="nil"/>
          <w:between w:val="nil"/>
        </w:pBdr>
        <w:spacing w:before="120" w:after="120" w:line="240" w:lineRule="auto"/>
        <w:jc w:val="both"/>
        <w:rPr>
          <w:rFonts w:eastAsia="Calibri" w:cstheme="minorHAnsi"/>
          <w:color w:val="000000"/>
          <w:lang w:val="ro-RO"/>
        </w:rPr>
      </w:pPr>
      <w:r w:rsidRPr="004B53BF">
        <w:rPr>
          <w:rFonts w:eastAsia="Calibri" w:cstheme="minorHAnsi"/>
          <w:b/>
          <w:color w:val="000000"/>
          <w:lang w:val="ro-RO"/>
        </w:rPr>
        <w:t xml:space="preserve">(b) </w:t>
      </w:r>
      <w:r w:rsidRPr="004B53BF">
        <w:rPr>
          <w:rFonts w:eastAsia="Calibri" w:cstheme="minorHAnsi"/>
          <w:color w:val="000000"/>
          <w:lang w:val="ro-RO"/>
        </w:rPr>
        <w:t xml:space="preserve">activitățile de transfer de cunoștințe, în cazul în care acestea sunt efectuate fie de organizația de cercetare sau de infrastructura de cercetare (inclusiv departamentele sau filialele acestora), fie în comun cu astfel de entități sau în numele acestora și în cazul în care toate profiturile din activitățile respective sunt reinvestite în activitățile de bază ale organizației </w:t>
      </w:r>
      <w:r w:rsidRPr="004B53BF">
        <w:rPr>
          <w:rFonts w:eastAsia="Calibri" w:cstheme="minorHAnsi"/>
          <w:color w:val="000000"/>
          <w:lang w:val="ro-RO"/>
        </w:rPr>
        <w:lastRenderedPageBreak/>
        <w:t>de cercetare sau ale infrastructurii de cercetare. Caracterul neeconomic al activităților nu este afectat de atribuirea contractelor de prestare a unor servicii corespunzătoare către părți terțe prin intermediul unor licitații deschise.</w:t>
      </w:r>
    </w:p>
    <w:p w14:paraId="1886BDDB" w14:textId="77777777" w:rsidR="004B53BF" w:rsidRPr="004B53BF" w:rsidRDefault="004B53BF" w:rsidP="004B53BF">
      <w:pPr>
        <w:pBdr>
          <w:top w:val="nil"/>
          <w:left w:val="nil"/>
          <w:bottom w:val="nil"/>
          <w:right w:val="nil"/>
          <w:between w:val="nil"/>
        </w:pBdr>
        <w:spacing w:before="120" w:after="120" w:line="240" w:lineRule="auto"/>
        <w:ind w:left="720"/>
        <w:jc w:val="both"/>
        <w:rPr>
          <w:rFonts w:eastAsia="Calibri" w:cstheme="minorHAnsi"/>
          <w:color w:val="000000"/>
          <w:lang w:val="ro-RO"/>
        </w:rPr>
      </w:pPr>
    </w:p>
    <w:p w14:paraId="042E2B91" w14:textId="77777777" w:rsidR="004B53BF" w:rsidRPr="004B53BF" w:rsidRDefault="004B53BF" w:rsidP="004B53BF">
      <w:pPr>
        <w:pBdr>
          <w:top w:val="nil"/>
          <w:left w:val="nil"/>
          <w:bottom w:val="nil"/>
          <w:right w:val="nil"/>
          <w:between w:val="nil"/>
        </w:pBdr>
        <w:spacing w:before="120" w:after="120" w:line="240" w:lineRule="auto"/>
        <w:jc w:val="both"/>
        <w:rPr>
          <w:rFonts w:eastAsia="Calibri" w:cstheme="minorHAnsi"/>
          <w:color w:val="000000"/>
          <w:lang w:val="ro-RO"/>
        </w:rPr>
      </w:pPr>
      <w:r w:rsidRPr="004B53BF">
        <w:rPr>
          <w:rFonts w:eastAsia="Calibri" w:cstheme="minorHAnsi"/>
          <w:color w:val="000000"/>
          <w:lang w:val="ro-RO"/>
        </w:rPr>
        <w:t>În cazul în care aceeași entitate realizează activități de natură atât economică, cât și neeconomică, finanțarea din fonduri publice a activităților neeconomice nu va intra sub incidența normelor privind ajutoarele de stat dacă cele două tipuri de activități și costurile, finanțarea și veniturile acestora pot fi separate în mod clar, astfel încât subvenționarea încrucișată a activității economice să fie evitată în mod eficace. Documentele privind alocarea adecvată a costurilor, finanțării și veniturilor pot consta în situațiile financiare anuale ale entității respective.</w:t>
      </w:r>
    </w:p>
    <w:p w14:paraId="7A4A0535" w14:textId="77777777" w:rsidR="004B53BF" w:rsidRPr="004B53BF" w:rsidRDefault="004B53BF" w:rsidP="004B53BF">
      <w:pPr>
        <w:pBdr>
          <w:top w:val="nil"/>
          <w:left w:val="nil"/>
          <w:bottom w:val="nil"/>
          <w:right w:val="nil"/>
          <w:between w:val="nil"/>
        </w:pBdr>
        <w:spacing w:before="120" w:after="120" w:line="240" w:lineRule="auto"/>
        <w:jc w:val="both"/>
        <w:rPr>
          <w:rFonts w:eastAsia="Calibri" w:cstheme="minorHAnsi"/>
          <w:color w:val="000000"/>
          <w:lang w:val="ro-RO"/>
        </w:rPr>
      </w:pPr>
      <w:r w:rsidRPr="004B53BF">
        <w:rPr>
          <w:rFonts w:eastAsia="Calibri" w:cstheme="minorHAnsi"/>
          <w:color w:val="000000"/>
          <w:lang w:val="ro-RO"/>
        </w:rPr>
        <w:t>În cazul în care o organizație de cercetare sau o infrastructură de cercetare este utilizată atât pentru activități economice, cât și neeconomice, finanțarea publică face obiectul normelor privind ajutoarele de stat numai în măsura în care aceasta acoperă costurile legate de activitățile economice. În cazul în care organizația de cercetare sau infrastructura de cercetare este utilizată aproape exclusiv pentru o activitate neeconomică, finanțarea acesteia poate ieși integral din domeniul de aplicare al normelor privind ajutoarele de stat dacă utilizarea economică rămâne pur auxiliară, cu alte cuvinte corespunde unei activități care este legată direct de funcționarea organizației de cercetare sau a infrastructurii de cercetare și este necesară pentru aceasta sau care este legată intrinsec de utilizarea neeconomică principală a acesteia și care are un domeniu de aplicare limitat. Conform Comunicării Comisiei Cadrul pentru ajutoarele de stat pentru cercetare, dezvoltare și inovare C (2022) nr. 7388 din 2022, Comisia va considera că așa stau lucrurile atunci când activitățile economice consumă exact aceiași factori (de exemplu, materiale, echipamente, forță de muncă și capital fix) ca și activitățile neeconomice, iar capacitatea alocată în fiecare an unor astfel de activități economice nu depășește 20% din capacitatea anuală globală a entității respective.</w:t>
      </w:r>
    </w:p>
    <w:p w14:paraId="04B6B08D" w14:textId="77777777" w:rsidR="004B53BF" w:rsidRPr="004B53BF" w:rsidRDefault="004B53BF" w:rsidP="004B53BF">
      <w:pPr>
        <w:pBdr>
          <w:top w:val="nil"/>
          <w:left w:val="nil"/>
          <w:bottom w:val="nil"/>
          <w:right w:val="nil"/>
          <w:between w:val="nil"/>
        </w:pBdr>
        <w:spacing w:before="120" w:after="120" w:line="240" w:lineRule="auto"/>
        <w:jc w:val="both"/>
        <w:rPr>
          <w:rFonts w:eastAsia="Calibri" w:cstheme="minorHAnsi"/>
          <w:color w:val="000000"/>
          <w:lang w:val="ro-RO"/>
        </w:rPr>
      </w:pPr>
      <w:r w:rsidRPr="004B53BF">
        <w:rPr>
          <w:rFonts w:eastAsia="Calibri" w:cstheme="minorHAnsi"/>
          <w:color w:val="000000"/>
          <w:lang w:val="ro-RO"/>
        </w:rPr>
        <w:t xml:space="preserve">În situația în care investițiile finanțate printr-un proiect sau activitățile derulate inclusiv după finalizarea proiectului sunt susceptibile a intra sub incidența ajutorului de stat, se recomandă solicitanților să adreseze o cerere pentru exprimarea unui punct de vedere autorității naționale competente în domeniul concurenței și al ajutorului de stat. </w:t>
      </w:r>
    </w:p>
    <w:p w14:paraId="6F9FD315" w14:textId="77777777" w:rsidR="004B53BF" w:rsidRPr="004B53BF" w:rsidRDefault="004B53BF" w:rsidP="004B53BF">
      <w:pPr>
        <w:spacing w:before="120" w:after="120" w:line="240" w:lineRule="auto"/>
        <w:jc w:val="both"/>
        <w:rPr>
          <w:rFonts w:eastAsia="Calibri" w:cstheme="minorHAnsi"/>
          <w:color w:val="00B050"/>
          <w:lang w:val="ro-RO"/>
        </w:rPr>
      </w:pPr>
      <w:r w:rsidRPr="004B53BF">
        <w:rPr>
          <w:rFonts w:eastAsia="Calibri" w:cstheme="minorHAnsi"/>
          <w:lang w:val="ro-RO"/>
        </w:rPr>
        <w:t>Dacă în perioada de implementare a proiectului sau în perioada de durabilitate se constată situații care să indice potențiala incidență a regulilor de acordare a ajutorului de stat asupra finanțării, AM PR NE va acționa conform legislației aplicabile în vigoare</w:t>
      </w:r>
      <w:r w:rsidRPr="004B53BF">
        <w:rPr>
          <w:rFonts w:eastAsia="Calibri" w:cstheme="minorHAnsi"/>
          <w:color w:val="00B050"/>
          <w:lang w:val="ro-RO"/>
        </w:rPr>
        <w:t>.</w:t>
      </w:r>
    </w:p>
    <w:p w14:paraId="6171BFDE" w14:textId="77777777" w:rsidR="004B53BF" w:rsidRPr="004B53BF" w:rsidRDefault="004B53BF" w:rsidP="004B53BF">
      <w:pPr>
        <w:spacing w:before="120" w:after="120" w:line="240" w:lineRule="auto"/>
        <w:jc w:val="center"/>
        <w:rPr>
          <w:rFonts w:eastAsia="Calibri" w:cstheme="minorHAnsi"/>
          <w:b/>
          <w:lang w:val="ro-RO"/>
        </w:rPr>
      </w:pPr>
    </w:p>
    <w:p w14:paraId="63DA8F92" w14:textId="77777777" w:rsidR="004B53BF" w:rsidRPr="004B53BF" w:rsidRDefault="004B53BF" w:rsidP="004B53BF">
      <w:pPr>
        <w:spacing w:before="120" w:after="120" w:line="240" w:lineRule="auto"/>
        <w:rPr>
          <w:rFonts w:eastAsia="Calibri" w:cstheme="minorHAnsi"/>
          <w:b/>
          <w:lang w:val="ro-RO"/>
        </w:rPr>
      </w:pPr>
      <w:r w:rsidRPr="004B53BF">
        <w:rPr>
          <w:rFonts w:eastAsia="Calibri" w:cstheme="minorHAnsi"/>
          <w:b/>
          <w:lang w:val="ro-RO"/>
        </w:rPr>
        <w:t xml:space="preserve">II. Ajutoare pentru investiții în infrastructurile de cercetare </w:t>
      </w:r>
    </w:p>
    <w:p w14:paraId="52C2D1C5" w14:textId="77777777" w:rsidR="004B53BF" w:rsidRPr="004B53BF" w:rsidRDefault="004B53BF" w:rsidP="004B53BF">
      <w:pPr>
        <w:pBdr>
          <w:top w:val="nil"/>
          <w:left w:val="nil"/>
          <w:bottom w:val="nil"/>
          <w:right w:val="nil"/>
          <w:between w:val="nil"/>
        </w:pBdr>
        <w:spacing w:before="120" w:after="120" w:line="240" w:lineRule="auto"/>
        <w:ind w:left="360" w:hanging="360"/>
        <w:jc w:val="both"/>
        <w:rPr>
          <w:rFonts w:eastAsia="Calibri" w:cstheme="minorHAnsi"/>
          <w:color w:val="FF0000"/>
          <w:lang w:val="ro-RO"/>
        </w:rPr>
      </w:pPr>
      <w:bookmarkStart w:id="0" w:name="_heading=h.gjdgxs" w:colFirst="0" w:colLast="0"/>
      <w:bookmarkEnd w:id="0"/>
      <w:r w:rsidRPr="004B53BF">
        <w:rPr>
          <w:rFonts w:eastAsia="Calibri" w:cstheme="minorHAnsi"/>
          <w:color w:val="000000"/>
          <w:lang w:val="ro-RO"/>
        </w:rPr>
        <w:t>În situația în care infrastructura de cercetare își crește activitatea economică astfel încât aceasta nu mai poate fi considerată pur auxiliară, finanțarea publică a întregii activități economice se va supune regulilor cu privire la ajutorul de stat, respectiv regulile cu privire la ajutorul de stat se vor aplica întregii activități economice în anul când capacitatea este utilizată &gt;20%.</w:t>
      </w:r>
      <w:r w:rsidRPr="004B53BF">
        <w:rPr>
          <w:rFonts w:eastAsia="Calibri" w:cstheme="minorHAnsi"/>
          <w:color w:val="000000"/>
          <w:vertAlign w:val="superscript"/>
          <w:lang w:val="ro-RO"/>
        </w:rPr>
        <w:footnoteReference w:id="1"/>
      </w:r>
      <w:r w:rsidRPr="004B53BF">
        <w:rPr>
          <w:rFonts w:eastAsia="Calibri" w:cstheme="minorHAnsi"/>
          <w:color w:val="000000"/>
          <w:lang w:val="ro-RO"/>
        </w:rPr>
        <w:t xml:space="preserve"> Pentru aceasta devin incidente prevederile Schemei de ajutoare pentru infrastructura de cercetare aprobată prin </w:t>
      </w:r>
      <w:r w:rsidRPr="004B53BF">
        <w:rPr>
          <w:rFonts w:eastAsia="Calibri" w:cstheme="minorHAnsi"/>
          <w:color w:val="FF0000"/>
          <w:lang w:val="ro-RO"/>
        </w:rPr>
        <w:t xml:space="preserve">Dispoziția Directorului General al ADR Nord-Est nr. </w:t>
      </w:r>
      <w:r w:rsidRPr="004B53BF">
        <w:rPr>
          <w:rFonts w:eastAsia="Calibri" w:cstheme="minorHAnsi"/>
          <w:color w:val="FF0000"/>
          <w:highlight w:val="yellow"/>
          <w:lang w:val="ro-RO"/>
        </w:rPr>
        <w:t>XXX / XX.XX.2023.</w:t>
      </w:r>
    </w:p>
    <w:p w14:paraId="16F64477" w14:textId="77777777" w:rsidR="004B53BF" w:rsidRPr="004B53BF" w:rsidRDefault="004B53BF" w:rsidP="004B53BF">
      <w:pPr>
        <w:spacing w:before="120" w:after="120" w:line="240" w:lineRule="auto"/>
        <w:jc w:val="both"/>
        <w:rPr>
          <w:rFonts w:eastAsia="Calibri" w:cstheme="minorHAnsi"/>
          <w:lang w:val="ro-RO"/>
        </w:rPr>
      </w:pPr>
      <w:r w:rsidRPr="004B53BF">
        <w:rPr>
          <w:rFonts w:eastAsia="Calibri" w:cstheme="minorHAnsi"/>
          <w:lang w:val="ro-RO"/>
        </w:rPr>
        <w:t>Activitățile eligibile ale proiectului ce vizează activitatea de cercetare, dezvoltare, inovare vizează următoarele activități prevăzute în ghidul solicitantului, respectiv:</w:t>
      </w:r>
    </w:p>
    <w:p w14:paraId="00AD512A" w14:textId="77777777" w:rsidR="004B53BF" w:rsidRPr="004B53BF" w:rsidRDefault="004B53BF" w:rsidP="004B53BF">
      <w:pPr>
        <w:spacing w:before="120" w:after="120" w:line="240" w:lineRule="auto"/>
        <w:jc w:val="both"/>
        <w:rPr>
          <w:rFonts w:eastAsia="Calibri" w:cstheme="minorHAnsi"/>
          <w:b/>
          <w:lang w:val="ro-RO"/>
        </w:rPr>
      </w:pPr>
      <w:r w:rsidRPr="004B53BF">
        <w:rPr>
          <w:rFonts w:eastAsia="Calibri" w:cstheme="minorHAnsi"/>
          <w:b/>
          <w:lang w:val="ro-RO"/>
        </w:rPr>
        <w:t>2. Activități specifice realizării de investiții necesare implementării activității de CDI:</w:t>
      </w:r>
    </w:p>
    <w:p w14:paraId="140F7A1F" w14:textId="77777777" w:rsidR="004B53BF" w:rsidRPr="004B53BF" w:rsidRDefault="004B53BF" w:rsidP="004B53BF">
      <w:pPr>
        <w:spacing w:before="120" w:after="120" w:line="240" w:lineRule="auto"/>
        <w:jc w:val="both"/>
        <w:rPr>
          <w:rFonts w:eastAsia="Calibri" w:cstheme="minorHAnsi"/>
          <w:lang w:val="ro-RO"/>
        </w:rPr>
      </w:pPr>
      <w:r w:rsidRPr="004B53BF">
        <w:rPr>
          <w:rFonts w:eastAsia="Calibri" w:cstheme="minorHAnsi"/>
          <w:b/>
          <w:lang w:val="ro-RO"/>
        </w:rPr>
        <w:t xml:space="preserve">a. </w:t>
      </w:r>
      <w:r w:rsidRPr="004B53BF">
        <w:rPr>
          <w:rFonts w:eastAsia="Calibri" w:cstheme="minorHAnsi"/>
          <w:lang w:val="ro-RO"/>
        </w:rPr>
        <w:t>Lucrări de construire/ reabilitare/ modernizare/ extindere/ consolidare/ schimbare destinație, pentru clădirile componente ale infrastructurilor de cercetare.</w:t>
      </w:r>
    </w:p>
    <w:p w14:paraId="30CCC424" w14:textId="77777777" w:rsidR="004B53BF" w:rsidRPr="004B53BF" w:rsidRDefault="004B53BF" w:rsidP="004B53BF">
      <w:pPr>
        <w:spacing w:before="120" w:after="120" w:line="240" w:lineRule="auto"/>
        <w:jc w:val="both"/>
        <w:rPr>
          <w:rFonts w:eastAsia="Calibri" w:cstheme="minorHAnsi"/>
          <w:lang w:val="ro-RO"/>
        </w:rPr>
      </w:pPr>
      <w:r w:rsidRPr="004B53BF">
        <w:rPr>
          <w:rFonts w:eastAsia="Calibri" w:cstheme="minorHAnsi"/>
          <w:b/>
          <w:lang w:val="ro-RO"/>
        </w:rPr>
        <w:t xml:space="preserve">b. </w:t>
      </w:r>
      <w:r w:rsidRPr="004B53BF">
        <w:rPr>
          <w:rFonts w:eastAsia="Calibri" w:cstheme="minorHAnsi"/>
          <w:lang w:val="ro-RO"/>
        </w:rPr>
        <w:t>Dotarea cu active corporale pentru cercetare-dezvoltare-inovare, de natura mijloacelor fixe (obligatoriu).</w:t>
      </w:r>
    </w:p>
    <w:p w14:paraId="3A8D65FE" w14:textId="77777777" w:rsidR="004B53BF" w:rsidRPr="004B53BF" w:rsidRDefault="004B53BF" w:rsidP="004B53BF">
      <w:pPr>
        <w:spacing w:before="120" w:after="120" w:line="240" w:lineRule="auto"/>
        <w:jc w:val="both"/>
        <w:rPr>
          <w:rFonts w:eastAsia="Calibri" w:cstheme="minorHAnsi"/>
          <w:lang w:val="ro-RO"/>
        </w:rPr>
      </w:pPr>
      <w:r w:rsidRPr="004B53BF">
        <w:rPr>
          <w:rFonts w:eastAsia="Calibri" w:cstheme="minorHAnsi"/>
          <w:b/>
          <w:lang w:val="ro-RO"/>
        </w:rPr>
        <w:t>c</w:t>
      </w:r>
      <w:r w:rsidRPr="004B53BF">
        <w:rPr>
          <w:rFonts w:eastAsia="Calibri" w:cstheme="minorHAnsi"/>
          <w:lang w:val="ro-RO"/>
        </w:rPr>
        <w:t>. Achiziții de active necorporale pentru cercetare-dezvoltare-inovare: cunoștințe tehnice, brevete, drepturi de utilizare, licențe, mărci comerciale, programe informatice, alte drepturi şi active similare, strict necesare pentru atingerea obiectivelor proiectului.</w:t>
      </w:r>
    </w:p>
    <w:p w14:paraId="5D8E995A" w14:textId="77777777" w:rsidR="004B53BF" w:rsidRPr="004B53BF" w:rsidRDefault="004B53BF" w:rsidP="004B53BF">
      <w:pPr>
        <w:spacing w:before="120" w:after="120" w:line="240" w:lineRule="auto"/>
        <w:jc w:val="both"/>
        <w:rPr>
          <w:rFonts w:eastAsia="Calibri" w:cstheme="minorHAnsi"/>
          <w:lang w:val="ro-RO"/>
        </w:rPr>
      </w:pPr>
    </w:p>
    <w:p w14:paraId="429DEC35" w14:textId="77777777" w:rsidR="004B53BF" w:rsidRPr="004B53BF" w:rsidRDefault="004B53BF" w:rsidP="004B53BF">
      <w:pPr>
        <w:spacing w:before="120" w:after="120" w:line="240" w:lineRule="auto"/>
        <w:jc w:val="both"/>
        <w:rPr>
          <w:rFonts w:eastAsia="Calibri" w:cstheme="minorHAnsi"/>
          <w:lang w:val="ro-RO"/>
        </w:rPr>
      </w:pPr>
      <w:r w:rsidRPr="004B53BF">
        <w:rPr>
          <w:rFonts w:eastAsia="Calibri" w:cstheme="minorHAnsi"/>
          <w:lang w:val="ro-RO"/>
        </w:rPr>
        <w:lastRenderedPageBreak/>
        <w:t>Măsura de sprijin constând în acordarea de ajutoare de stat pentru construirea sau modernizarea infrastructurilor de cercetare</w:t>
      </w:r>
      <w:r w:rsidRPr="004B53BF">
        <w:rPr>
          <w:rFonts w:eastAsia="Calibri" w:cstheme="minorHAnsi"/>
          <w:b/>
          <w:lang w:val="ro-RO"/>
        </w:rPr>
        <w:t>, care desfășoară activități economice</w:t>
      </w:r>
      <w:r w:rsidRPr="004B53BF">
        <w:rPr>
          <w:rFonts w:eastAsia="Calibri" w:cstheme="minorHAnsi"/>
          <w:lang w:val="ro-RO"/>
        </w:rPr>
        <w:t xml:space="preserve">, în baza articolului 26 din Regulamentul (UE) nr. 651/2014 sunt compatibile cu piața internă în sensul articolului 107 alineatul (3) și sunt exceptate de la obligația de notificare prevăzută la articolul 108 alineatul (3) din tratat, dacă sunt îndeplinite următoarele cerințe: </w:t>
      </w:r>
    </w:p>
    <w:p w14:paraId="3F7B9747" w14:textId="77777777" w:rsidR="004B53BF" w:rsidRPr="004B53BF" w:rsidRDefault="004B53BF" w:rsidP="004B53BF">
      <w:pPr>
        <w:numPr>
          <w:ilvl w:val="0"/>
          <w:numId w:val="1"/>
        </w:numPr>
        <w:pBdr>
          <w:top w:val="nil"/>
          <w:left w:val="nil"/>
          <w:bottom w:val="nil"/>
          <w:right w:val="nil"/>
          <w:between w:val="nil"/>
        </w:pBdr>
        <w:spacing w:before="120" w:after="0" w:line="240" w:lineRule="auto"/>
        <w:jc w:val="both"/>
        <w:rPr>
          <w:rFonts w:eastAsia="Calibri" w:cstheme="minorHAnsi"/>
          <w:color w:val="000000"/>
          <w:lang w:val="ro-RO"/>
        </w:rPr>
      </w:pPr>
      <w:r w:rsidRPr="004B53BF">
        <w:rPr>
          <w:rFonts w:eastAsia="Calibri" w:cstheme="minorHAnsi"/>
          <w:color w:val="000000"/>
          <w:lang w:val="ro-RO"/>
        </w:rPr>
        <w:t>În cazul în care o infrastructura de cercetare desfășoară atât activități economice, cât și activități fără caracter economic, finanțarea, costurile și veniturile aferente fiecărui tip de activitate sunt luate în considerare separat, pe baza principiilor de contabilitate analitică aplicate în mod coerent și justificabile în mod obiectiv.</w:t>
      </w:r>
    </w:p>
    <w:p w14:paraId="03675976" w14:textId="77777777" w:rsidR="004B53BF" w:rsidRPr="004B53BF" w:rsidRDefault="004B53BF" w:rsidP="004B53BF">
      <w:pPr>
        <w:numPr>
          <w:ilvl w:val="0"/>
          <w:numId w:val="1"/>
        </w:numPr>
        <w:pBdr>
          <w:top w:val="nil"/>
          <w:left w:val="nil"/>
          <w:bottom w:val="nil"/>
          <w:right w:val="nil"/>
          <w:between w:val="nil"/>
        </w:pBdr>
        <w:spacing w:after="0" w:line="240" w:lineRule="auto"/>
        <w:jc w:val="both"/>
        <w:rPr>
          <w:rFonts w:eastAsia="Calibri" w:cstheme="minorHAnsi"/>
          <w:color w:val="000000"/>
          <w:lang w:val="ro-RO"/>
        </w:rPr>
      </w:pPr>
      <w:r w:rsidRPr="004B53BF">
        <w:rPr>
          <w:rFonts w:eastAsia="Calibri" w:cstheme="minorHAnsi"/>
          <w:color w:val="000000"/>
          <w:lang w:val="ro-RO"/>
        </w:rPr>
        <w:t>Prețul perceput pentru exploatarea sau utilizarea infrastructurii trebuie să corespundă unui preț de piață.</w:t>
      </w:r>
    </w:p>
    <w:p w14:paraId="2EDFAF1A" w14:textId="77777777" w:rsidR="004B53BF" w:rsidRPr="004B53BF" w:rsidRDefault="004B53BF" w:rsidP="004B53BF">
      <w:pPr>
        <w:numPr>
          <w:ilvl w:val="0"/>
          <w:numId w:val="1"/>
        </w:numPr>
        <w:pBdr>
          <w:top w:val="nil"/>
          <w:left w:val="nil"/>
          <w:bottom w:val="nil"/>
          <w:right w:val="nil"/>
          <w:between w:val="nil"/>
        </w:pBdr>
        <w:spacing w:after="0" w:line="240" w:lineRule="auto"/>
        <w:jc w:val="both"/>
        <w:rPr>
          <w:rFonts w:eastAsia="Calibri" w:cstheme="minorHAnsi"/>
          <w:color w:val="000000"/>
          <w:lang w:val="ro-RO"/>
        </w:rPr>
      </w:pPr>
      <w:r w:rsidRPr="004B53BF">
        <w:rPr>
          <w:rFonts w:eastAsia="Calibri" w:cstheme="minorHAnsi"/>
          <w:color w:val="000000"/>
          <w:lang w:val="ro-RO"/>
        </w:rPr>
        <w:t xml:space="preserve">Accesul la infrastructură este deschis pentru mai mulți utilizatori și se acordă în mod transparent și nediscriminatoriu. Întreprinderilor care au finanțat cel puțin 10 % din costurile de investiții pentru infrastructură li se poate acorda acces preferențial în condiții mai favorabile. Pentru a se evita </w:t>
      </w:r>
      <w:proofErr w:type="spellStart"/>
      <w:r w:rsidRPr="004B53BF">
        <w:rPr>
          <w:rFonts w:eastAsia="Calibri" w:cstheme="minorHAnsi"/>
          <w:color w:val="000000"/>
          <w:lang w:val="ro-RO"/>
        </w:rPr>
        <w:t>supracompensarea</w:t>
      </w:r>
      <w:proofErr w:type="spellEnd"/>
      <w:r w:rsidRPr="004B53BF">
        <w:rPr>
          <w:rFonts w:eastAsia="Calibri" w:cstheme="minorHAnsi"/>
          <w:color w:val="000000"/>
          <w:lang w:val="ro-RO"/>
        </w:rPr>
        <w:t>, accesul de acest tip trebuie să fie proporțional cu contribuția întreprinderii la costurile de investiții, iar condițiile menționate trebuie să fie făcute publice.</w:t>
      </w:r>
    </w:p>
    <w:p w14:paraId="564D4ADE" w14:textId="77777777" w:rsidR="004B53BF" w:rsidRPr="004B53BF" w:rsidRDefault="004B53BF" w:rsidP="004B53BF">
      <w:pPr>
        <w:numPr>
          <w:ilvl w:val="0"/>
          <w:numId w:val="1"/>
        </w:numPr>
        <w:pBdr>
          <w:top w:val="nil"/>
          <w:left w:val="nil"/>
          <w:bottom w:val="nil"/>
          <w:right w:val="nil"/>
          <w:between w:val="nil"/>
        </w:pBdr>
        <w:spacing w:after="0" w:line="240" w:lineRule="auto"/>
        <w:jc w:val="both"/>
        <w:rPr>
          <w:rFonts w:eastAsia="Calibri" w:cstheme="minorHAnsi"/>
          <w:color w:val="000000"/>
          <w:lang w:val="ro-RO"/>
        </w:rPr>
      </w:pPr>
      <w:r w:rsidRPr="004B53BF">
        <w:rPr>
          <w:rFonts w:eastAsia="Calibri" w:cstheme="minorHAnsi"/>
          <w:color w:val="000000"/>
          <w:lang w:val="ro-RO"/>
        </w:rPr>
        <w:t>Costurile eligibile sunt costurile de investiții în active corporale și necorporale.</w:t>
      </w:r>
    </w:p>
    <w:p w14:paraId="6E3DF8FE" w14:textId="77777777" w:rsidR="004B53BF" w:rsidRPr="004B53BF" w:rsidRDefault="004B53BF" w:rsidP="004B53BF">
      <w:pPr>
        <w:numPr>
          <w:ilvl w:val="0"/>
          <w:numId w:val="1"/>
        </w:numPr>
        <w:pBdr>
          <w:top w:val="nil"/>
          <w:left w:val="nil"/>
          <w:bottom w:val="nil"/>
          <w:right w:val="nil"/>
          <w:between w:val="nil"/>
        </w:pBdr>
        <w:spacing w:after="0" w:line="240" w:lineRule="auto"/>
        <w:jc w:val="both"/>
        <w:rPr>
          <w:rFonts w:eastAsia="Calibri" w:cstheme="minorHAnsi"/>
          <w:color w:val="000000"/>
          <w:lang w:val="ro-RO"/>
        </w:rPr>
      </w:pPr>
      <w:r w:rsidRPr="004B53BF">
        <w:rPr>
          <w:rFonts w:eastAsia="Calibri" w:cstheme="minorHAnsi"/>
          <w:color w:val="000000"/>
          <w:lang w:val="ro-RO"/>
        </w:rPr>
        <w:t>Intensitatea ajutorului nu trebuie să depășească 50 % din costurile eligibile.</w:t>
      </w:r>
    </w:p>
    <w:p w14:paraId="5A861A03" w14:textId="77777777" w:rsidR="004B53BF" w:rsidRPr="004B53BF" w:rsidRDefault="004B53BF" w:rsidP="004B53BF">
      <w:pPr>
        <w:numPr>
          <w:ilvl w:val="0"/>
          <w:numId w:val="1"/>
        </w:numPr>
        <w:pBdr>
          <w:top w:val="nil"/>
          <w:left w:val="nil"/>
          <w:bottom w:val="nil"/>
          <w:right w:val="nil"/>
          <w:between w:val="nil"/>
        </w:pBdr>
        <w:spacing w:after="0" w:line="240" w:lineRule="auto"/>
        <w:jc w:val="both"/>
        <w:rPr>
          <w:rFonts w:eastAsia="Calibri" w:cstheme="minorHAnsi"/>
          <w:color w:val="000000"/>
          <w:lang w:val="ro-RO"/>
        </w:rPr>
      </w:pPr>
      <w:r w:rsidRPr="004B53BF">
        <w:rPr>
          <w:rFonts w:eastAsia="Calibri" w:cstheme="minorHAnsi"/>
          <w:color w:val="000000"/>
          <w:lang w:val="ro-RO"/>
        </w:rPr>
        <w:t>În cazul în care  infrastructura de cercetare primește finanţare din fonduri publice atât pentru activități economice, cât și pentru activități fără caracter economic, se instituie si se aplica mecanismul de monitorizare și recuperare pentru a se asigura că intensitatea aplicabilă a ajutorului nu este depășită ca urmare a unei creșteri a ponderii activităților economice în comparație cu situația prevăzută la data acordării ajutorului (Anexa 9 - Metodologie de monitorizare activitate economica).</w:t>
      </w:r>
    </w:p>
    <w:p w14:paraId="65A0DB1A" w14:textId="77777777" w:rsidR="004B53BF" w:rsidRPr="004B53BF" w:rsidRDefault="004B53BF" w:rsidP="004B53BF">
      <w:pPr>
        <w:pBdr>
          <w:top w:val="nil"/>
          <w:left w:val="nil"/>
          <w:bottom w:val="nil"/>
          <w:right w:val="nil"/>
          <w:between w:val="nil"/>
        </w:pBdr>
        <w:spacing w:after="120" w:line="240" w:lineRule="auto"/>
        <w:ind w:left="720"/>
        <w:rPr>
          <w:rFonts w:eastAsia="Calibri" w:cstheme="minorHAnsi"/>
          <w:color w:val="000000"/>
          <w:lang w:val="ro-RO"/>
        </w:rPr>
      </w:pPr>
    </w:p>
    <w:p w14:paraId="1A4E5C92" w14:textId="77777777" w:rsidR="001079C8" w:rsidRPr="004B53BF" w:rsidRDefault="001079C8" w:rsidP="00091831">
      <w:pPr>
        <w:jc w:val="both"/>
        <w:rPr>
          <w:rFonts w:cstheme="minorHAnsi"/>
          <w:color w:val="254896"/>
          <w:lang w:val="ro-RO"/>
        </w:rPr>
      </w:pPr>
    </w:p>
    <w:p w14:paraId="41819271" w14:textId="77777777" w:rsidR="001079C8" w:rsidRPr="004B53BF" w:rsidRDefault="001079C8" w:rsidP="00091831">
      <w:pPr>
        <w:jc w:val="both"/>
        <w:rPr>
          <w:rFonts w:cstheme="minorHAnsi"/>
          <w:color w:val="254896"/>
          <w:lang w:val="ro-RO"/>
        </w:rPr>
      </w:pPr>
    </w:p>
    <w:p w14:paraId="7F375FF2" w14:textId="77777777" w:rsidR="00091831" w:rsidRPr="004B53BF" w:rsidRDefault="00091831" w:rsidP="00091831">
      <w:pPr>
        <w:jc w:val="both"/>
        <w:rPr>
          <w:rFonts w:cstheme="minorHAnsi"/>
          <w:color w:val="254896"/>
          <w:lang w:val="ro-RO"/>
        </w:rPr>
      </w:pPr>
    </w:p>
    <w:p w14:paraId="0A68B1B1" w14:textId="77777777" w:rsidR="00091831" w:rsidRPr="004B53BF" w:rsidRDefault="00091831" w:rsidP="00091831">
      <w:pPr>
        <w:jc w:val="both"/>
        <w:rPr>
          <w:rFonts w:cstheme="minorHAnsi"/>
          <w:color w:val="254896"/>
          <w:lang w:val="ro-RO"/>
        </w:rPr>
      </w:pPr>
    </w:p>
    <w:p w14:paraId="6D7580A1" w14:textId="77777777" w:rsidR="00091831" w:rsidRPr="004B53BF" w:rsidRDefault="00091831" w:rsidP="00091831">
      <w:pPr>
        <w:jc w:val="both"/>
        <w:rPr>
          <w:rFonts w:cstheme="minorHAnsi"/>
          <w:color w:val="254896"/>
          <w:lang w:val="ro-RO"/>
        </w:rPr>
      </w:pPr>
    </w:p>
    <w:p w14:paraId="4FD49C92" w14:textId="77777777" w:rsidR="00091831" w:rsidRPr="004B53BF" w:rsidRDefault="00091831" w:rsidP="00091831">
      <w:pPr>
        <w:jc w:val="both"/>
        <w:rPr>
          <w:rFonts w:cstheme="minorHAnsi"/>
          <w:color w:val="254896"/>
          <w:lang w:val="ro-RO"/>
        </w:rPr>
      </w:pPr>
    </w:p>
    <w:sectPr w:rsidR="00091831" w:rsidRPr="004B53BF" w:rsidSect="00A46815">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 w:id="1">
    <w:p w14:paraId="67025181" w14:textId="77777777" w:rsidR="004B53BF" w:rsidRPr="004B53BF" w:rsidRDefault="004B53BF" w:rsidP="004B53BF">
      <w:pPr>
        <w:pBdr>
          <w:top w:val="nil"/>
          <w:left w:val="nil"/>
          <w:bottom w:val="nil"/>
          <w:right w:val="nil"/>
          <w:between w:val="nil"/>
        </w:pBdr>
        <w:spacing w:line="240" w:lineRule="auto"/>
        <w:rPr>
          <w:rFonts w:ascii="Calibri" w:eastAsia="Calibri" w:hAnsi="Calibri" w:cs="Calibri"/>
          <w:color w:val="000000"/>
          <w:lang w:val="pt-BR"/>
        </w:rPr>
      </w:pPr>
      <w:r>
        <w:rPr>
          <w:vertAlign w:val="superscript"/>
        </w:rPr>
        <w:footnoteRef/>
      </w:r>
      <w:r w:rsidRPr="004B53BF">
        <w:rPr>
          <w:rFonts w:ascii="Calibri" w:eastAsia="Calibri" w:hAnsi="Calibri" w:cs="Calibri"/>
          <w:color w:val="000000"/>
          <w:sz w:val="20"/>
          <w:szCs w:val="20"/>
          <w:lang w:val="pt-BR"/>
        </w:rPr>
        <w:t>Comunicarea CE (2022) 7388 din 19.10.2022 privind  calculul ajutoarelor de stat pentru cercetare, dezvoltare și inovare, pct.21.</w:t>
      </w:r>
    </w:p>
    <w:p w14:paraId="5EFDB2A1" w14:textId="77777777" w:rsidR="004B53BF" w:rsidRPr="004B53BF" w:rsidRDefault="004B53BF" w:rsidP="004B53BF">
      <w:pPr>
        <w:pBdr>
          <w:top w:val="nil"/>
          <w:left w:val="nil"/>
          <w:bottom w:val="nil"/>
          <w:right w:val="nil"/>
          <w:between w:val="nil"/>
        </w:pBdr>
        <w:tabs>
          <w:tab w:val="left" w:pos="931"/>
        </w:tabs>
        <w:spacing w:line="240" w:lineRule="auto"/>
        <w:rPr>
          <w:rFonts w:ascii="Calibri" w:eastAsia="Calibri" w:hAnsi="Calibri" w:cs="Calibri"/>
          <w:color w:val="000000"/>
          <w:lang w:val="pt-B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EF44A3"/>
    <w:multiLevelType w:val="multilevel"/>
    <w:tmpl w:val="C284CE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2FB4C02"/>
    <w:multiLevelType w:val="multilevel"/>
    <w:tmpl w:val="391A06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97656347">
    <w:abstractNumId w:val="1"/>
  </w:num>
  <w:num w:numId="2" w16cid:durableId="2065716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91831"/>
    <w:rsid w:val="001079C8"/>
    <w:rsid w:val="00282EC1"/>
    <w:rsid w:val="002B5C79"/>
    <w:rsid w:val="002E3692"/>
    <w:rsid w:val="0043337B"/>
    <w:rsid w:val="0049487A"/>
    <w:rsid w:val="004B53BF"/>
    <w:rsid w:val="006E71CD"/>
    <w:rsid w:val="00A16EF7"/>
    <w:rsid w:val="00A46815"/>
    <w:rsid w:val="00C2191D"/>
    <w:rsid w:val="00DE246A"/>
    <w:rsid w:val="00E70BFF"/>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1348</Words>
  <Characters>8475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Popa</cp:lastModifiedBy>
  <cp:revision>2</cp:revision>
  <dcterms:created xsi:type="dcterms:W3CDTF">2024-01-11T14:52:00Z</dcterms:created>
  <dcterms:modified xsi:type="dcterms:W3CDTF">2024-01-11T14:52:00Z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